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8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Appendix</w:t>
      </w:r>
    </w:p>
    <w:p>
      <w:pPr>
        <w:spacing w:after="0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Appendix A: Manipulation Check of Eye-head Directional Cue in Experiment 1A</w:t>
      </w:r>
    </w:p>
    <w:p>
      <w:pPr>
        <w:spacing w:after="0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after="0" w:line="48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Visibility Evaluation</w:t>
      </w:r>
    </w:p>
    <w:p>
      <w:pPr>
        <w:pStyle w:val="5"/>
        <w:spacing w:after="0" w:line="480" w:lineRule="auto"/>
        <w:ind w:left="0" w:firstLine="720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Before Experiment 1A’s Posner task,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20 adults (who would not participate in the formal experiment) evaluated whether the centrally presented face could see the dot in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the valid or invalid conditions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. Eight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images involving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one dot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on the left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/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right wall and a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face with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left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/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right-viewing eye-gaze (i.e., g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aze-averted-face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 or with left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/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right-oriented head (i.e., head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-averted-face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) were displayed.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All the participants reported that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the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 gaze-averted but not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head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-averted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face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 could see the dot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in the valid condition, whereas neither of the two kinds of faces could see the dot in the invalid condition.</w:t>
      </w:r>
    </w:p>
    <w:p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</w:p>
    <w:p>
      <w:pPr>
        <w:spacing w:after="0" w:line="48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Gaze Angle Estimation</w:t>
      </w:r>
    </w:p>
    <w:p>
      <w:pPr>
        <w:spacing w:line="48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  <w:lang w:val="en-GB" w:bidi="a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GB" w:bidi="ar"/>
          <w14:textFill>
            <w14:solidFill>
              <w14:schemeClr w14:val="tx1"/>
            </w14:solidFill>
          </w14:textFill>
        </w:rPr>
        <w:t xml:space="preserve">In addition, a new sample of 22 adults without participation in the formal experiment evaluated the gaze angle of the four faces shown in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GB" w:bidi="ar"/>
          <w14:textFill>
            <w14:solidFill>
              <w14:schemeClr w14:val="tx1"/>
            </w14:solidFill>
          </w14:textFill>
        </w:rPr>
        <w:t>Supplementary Table 1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 w:bidi="ar"/>
          <w14:textFill>
            <w14:solidFill>
              <w14:schemeClr w14:val="tx1"/>
            </w14:solidFill>
          </w14:textFill>
        </w:rPr>
        <w:t>. The gaze angle was rated from 0 (i.e., direct gaze) to 5 (i.e., extremely left or right gaze). The average ratings for four faces were 2.9 (gaze-averted) and 2.1 (head-averted) when evaluating Qian et al.’s (2013) stimuli; 4.2 (gaze-averted) and 1.6 (head-averted) when evaluating our stimuli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. A paired-samples 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t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-tests showed that the rating of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 w:bidi="ar"/>
          <w14:textFill>
            <w14:solidFill>
              <w14:schemeClr w14:val="tx1"/>
            </w14:solidFill>
          </w14:textFill>
        </w:rPr>
        <w:t xml:space="preserve">gaze-averted faces was significantly higher than that of head-averted faces in these two studies (all 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GB" w:bidi="ar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 w:bidi="ar"/>
          <w14:textFill>
            <w14:solidFill>
              <w14:schemeClr w14:val="tx1"/>
            </w14:solidFill>
          </w14:textFill>
        </w:rPr>
        <w:t>s &lt; 0.05). Among the results, the ratings of Qian et al.’s (2013) stimuli are similar to Qian et al.’s (2013) evaluations (i.e., 2.6 for gaze-averted faces and 1.9 for head-averted faces).</w:t>
      </w:r>
    </w:p>
    <w:p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 w:bidi="ar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Supplementary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able 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Stimuli used in Qian et al.’s (2013) and the present studies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2"/>
        <w:gridCol w:w="2179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48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 Unicode MS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Type of Faces</w:t>
            </w: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48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 Unicode MS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Gaze-averted-face</w:t>
            </w:r>
          </w:p>
        </w:tc>
        <w:tc>
          <w:tcPr>
            <w:tcW w:w="2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480" w:lineRule="auto"/>
              <w:jc w:val="center"/>
              <w:rPr>
                <w:rFonts w:ascii="Times New Roman" w:hAnsi="Times New Roman" w:eastAsia="Arial Unicode MS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 Unicode MS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Head-averted-face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48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Qian et al.’s (2013) study</w:t>
            </w: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48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71550" cy="1242695"/>
                  <wp:effectExtent l="0" t="0" r="0" b="1460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575" cy="125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48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20750" cy="1241425"/>
                  <wp:effectExtent l="0" t="0" r="12700" b="15875"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1034" cy="124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48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The present study</w:t>
            </w: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48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075690" cy="1367790"/>
                  <wp:effectExtent l="0" t="0" r="1016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962" cy="13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480" w:lineRule="auto"/>
              <w:jc w:val="center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065530" cy="1368425"/>
                  <wp:effectExtent l="0" t="0" r="1270" b="3175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864" cy="1371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480" w:lineRule="auto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rPr>
          <w:rFonts w:hint="default" w:ascii="Times New Roman" w:hAnsi="Times New Roman" w:eastAsia="宋体" w:cs="Times New Roman"/>
          <w:b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default" w:ascii="Times New Roman" w:hAnsi="Times New Roman" w:eastAsia="宋体" w:cs="Times New Roman"/>
          <w:b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Legend</w:t>
      </w:r>
    </w:p>
    <w:p>
      <w:pPr>
        <w:spacing w:line="480" w:lineRule="auto"/>
        <w:rPr>
          <w:rFonts w:hint="default" w:ascii="Times New Roman" w:hAnsi="Times New Roman" w:eastAsia="宋体" w:cs="Times New Roman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Supplementary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ab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le 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宋体" w:cs="Times New Roman"/>
          <w:b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Examples of 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face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images used in Qian et al.’s (2013)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study (second row) and present study (third row).</w:t>
      </w:r>
    </w:p>
    <w:p>
      <w:pPr>
        <w:spacing w:line="480" w:lineRule="auto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Appendix B: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Manipulation Check of Eye-head Directional Cue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in Experiment 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1B</w:t>
      </w:r>
    </w:p>
    <w:p>
      <w:pPr>
        <w:spacing w:line="480" w:lineRule="auto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Visibility Evaluation</w:t>
      </w:r>
    </w:p>
    <w:p>
      <w:pPr>
        <w:pStyle w:val="5"/>
        <w:spacing w:after="0" w:line="480" w:lineRule="auto"/>
        <w:ind w:left="0" w:firstLine="720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The visibility evaluation conducted before Experiment 1B’s dot-perspective task was the same as the visibility evaluation in Experiment 1A except for the vertical presentation of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two dots on one lateral wall.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Every participant reported that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the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 gaze-averted face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 could see the dots whereas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the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head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-averted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faces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 xml:space="preserve"> could not in the consistent condition; neither of them could see the dots in the inconsistent condition.</w:t>
      </w: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Appendix C: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Manipulation Check of Eye-finger-pointing Cues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in Experiment 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2</w:t>
      </w:r>
    </w:p>
    <w:p>
      <w:pPr>
        <w:spacing w:line="48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Twenty adults who did not take part in the formal experiment completed a visibility evaluation before the formal experiment. The visibility evaluations in Experiment 2A and 2B were the same as the evaluations in Experiment 1A and 1B, respectively, except for replacing eye-head cues (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 w:bidi="ar"/>
          <w14:textFill>
            <w14:solidFill>
              <w14:schemeClr w14:val="tx1"/>
            </w14:solidFill>
          </w14:textFill>
        </w:rPr>
        <w:t>gaze-averted-face vs. head-averted-face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) with eye-finger-pointing cues (gaze-averted-agent vs. finger-pointing-agent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  <w:t>.</w:t>
      </w:r>
    </w:p>
    <w:p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480" w:lineRule="auto"/>
        <w:jc w:val="both"/>
        <w:rPr>
          <w:color w:val="000000" w:themeColor="text1"/>
          <w:sz w:val="22"/>
          <w:szCs w:val="22"/>
          <w:lang w:val="en-NZ"/>
          <w14:textFill>
            <w14:solidFill>
              <w14:schemeClr w14:val="tx1"/>
            </w14:solidFill>
          </w14:textFill>
        </w:rPr>
      </w:pPr>
    </w:p>
    <w:p/>
    <w:sectPr>
      <w:headerReference r:id="rId5" w:type="default"/>
      <w:pgSz w:w="11906" w:h="16838"/>
      <w:pgMar w:top="1440" w:right="1440" w:bottom="1440" w:left="1440" w:header="709" w:footer="709" w:gutter="0"/>
      <w:lnNumType w:countBy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1992283899"/>
    </w:sdtPr>
    <w:sdtEndPr>
      <w:rPr>
        <w:rFonts w:ascii="Times New Roman" w:hAnsi="Times New Roman" w:cs="Times New Roman"/>
      </w:rPr>
    </w:sdtEndPr>
    <w:sdtContent>
      <w:p>
        <w:pPr>
          <w:pStyle w:val="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color w:val="000000" w:themeColor="text1"/>
            <w14:textFill>
              <w14:solidFill>
                <w14:schemeClr w14:val="tx1"/>
              </w14:solidFill>
            </w14:textFill>
          </w:rPr>
          <w:fldChar w:fldCharType="begin"/>
        </w:r>
        <w:r>
          <w:rPr>
            <w:rFonts w:ascii="Times New Roman" w:hAnsi="Times New Roman" w:cs="Times New Roman"/>
            <w:color w:val="000000" w:themeColor="text1"/>
            <w14:textFill>
              <w14:solidFill>
                <w14:schemeClr w14:val="tx1"/>
              </w14:solidFill>
            </w14:textFill>
          </w:rPr>
          <w:instrText xml:space="preserve"> PAGE   \* MERGEFORMAT </w:instrText>
        </w:r>
        <w:r>
          <w:rPr>
            <w:rFonts w:ascii="Times New Roman" w:hAnsi="Times New Roman" w:cs="Times New Roman"/>
            <w:color w:val="000000" w:themeColor="text1"/>
            <w14:textFill>
              <w14:solidFill>
                <w14:schemeClr w14:val="tx1"/>
              </w14:solidFill>
            </w14:textFill>
          </w:rPr>
          <w:fldChar w:fldCharType="separate"/>
        </w:r>
        <w:r>
          <w:rPr>
            <w:rFonts w:ascii="Times New Roman" w:hAnsi="Times New Roman" w:cs="Times New Roman"/>
            <w:color w:val="000000" w:themeColor="text1"/>
            <w14:textFill>
              <w14:solidFill>
                <w14:schemeClr w14:val="tx1"/>
              </w14:solidFill>
            </w14:textFill>
          </w:rPr>
          <w:t>4</w:t>
        </w:r>
        <w:r>
          <w:rPr>
            <w:rFonts w:ascii="Times New Roman" w:hAnsi="Times New Roman" w:cs="Times New Roman"/>
            <w:color w:val="000000" w:themeColor="text1"/>
            <w14:textFill>
              <w14:solidFill>
                <w14:schemeClr w14:val="tx1"/>
              </w14:solidFill>
            </w14:textFill>
          </w:rPr>
          <w:fldChar w:fldCharType="end"/>
        </w:r>
      </w:p>
    </w:sdtContent>
  </w:sdt>
  <w:p>
    <w:pPr>
      <w:pStyle w:val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lYjhiZWI0ODhhMWEyMmRmZjZmNWY1OTg3ZDJmZDIifQ=="/>
  </w:docVars>
  <w:rsids>
    <w:rsidRoot w:val="00000000"/>
    <w:rsid w:val="017527F8"/>
    <w:rsid w:val="01B92305"/>
    <w:rsid w:val="3FB77FC3"/>
    <w:rsid w:val="6B1C4DF6"/>
    <w:rsid w:val="72FD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NZ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5">
    <w:name w:val="List Paragraph"/>
    <w:basedOn w:val="1"/>
    <w:qFormat/>
    <w:uiPriority w:val="99"/>
    <w:pPr>
      <w:ind w:left="720"/>
      <w:contextualSpacing/>
    </w:pPr>
  </w:style>
  <w:style w:type="paragraph" w:customStyle="1" w:styleId="6">
    <w:name w:val="正文1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1"/>
      <w:lang w:val="en-GB" w:eastAsia="zh-CN" w:bidi="ar-SA"/>
    </w:rPr>
  </w:style>
  <w:style w:type="table" w:customStyle="1" w:styleId="7">
    <w:name w:val="网格型1"/>
    <w:basedOn w:val="3"/>
    <w:qFormat/>
    <w:uiPriority w:val="0"/>
    <w:pPr>
      <w:widowControl w:val="0"/>
      <w:spacing w:after="0" w:line="240" w:lineRule="auto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p0"/>
    <w:basedOn w:val="1"/>
    <w:qFormat/>
    <w:uiPriority w:val="0"/>
    <w:rPr>
      <w:rFonts w:ascii="Times New Roman" w:hAnsi="Times New Roman" w:eastAsia="Times New Roman" w:cs="Times New Roman"/>
      <w:sz w:val="24"/>
      <w:szCs w:val="21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425</Words>
  <Characters>2422</Characters>
  <Lines>0</Lines>
  <Paragraphs>0</Paragraphs>
  <TotalTime>3</TotalTime>
  <ScaleCrop>false</ScaleCrop>
  <LinksUpToDate>false</LinksUpToDate>
  <CharactersWithSpaces>2829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2023-05-31T02:42:00Z</dcterms:created>
  <dc:creator>congfan</dc:creator>
  <cp:lastModifiedBy>Cong</cp:lastModifiedBy>
  <dcterms:modified xsi:type="dcterms:W3CDTF">2023-05-31T08:26:42Z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D3DB3DD31DA64A7487C537BFDE0CF973_12</vt:lpwstr>
  </property>
</Properties>
</file>